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9FD" w14:textId="77777777" w:rsidR="001F7709" w:rsidRPr="001F7709" w:rsidRDefault="001F7709" w:rsidP="001F7709">
      <w:pPr>
        <w:widowControl w:val="0"/>
        <w:spacing w:after="0" w:line="560" w:lineRule="exact"/>
        <w:jc w:val="center"/>
        <w:rPr>
          <w:rFonts w:ascii="Times New Roman" w:eastAsia="DFKai-SB" w:hAnsi="Times New Roman" w:cs="Times New Roman"/>
          <w:b/>
          <w:sz w:val="40"/>
          <w:szCs w:val="40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b/>
          <w:sz w:val="40"/>
          <w:szCs w:val="40"/>
          <w:lang w:val="en-US" w:eastAsia="zh-TW"/>
          <w14:ligatures w14:val="none"/>
        </w:rPr>
        <w:t>國立體育大學競技學院競技與教練科學研究所</w:t>
      </w:r>
    </w:p>
    <w:p w14:paraId="68FEE706" w14:textId="77777777" w:rsidR="001F7709" w:rsidRPr="001F7709" w:rsidRDefault="001F7709" w:rsidP="001F7709">
      <w:pPr>
        <w:keepNext/>
        <w:widowControl w:val="0"/>
        <w:spacing w:before="180" w:after="180" w:line="560" w:lineRule="exact"/>
        <w:jc w:val="center"/>
        <w:outlineLvl w:val="0"/>
        <w:rPr>
          <w:rFonts w:ascii="Times New Roman" w:eastAsia="DFKai-SB" w:hAnsi="Times New Roman" w:cs="Times New Roman"/>
          <w:b/>
          <w:bCs/>
          <w:kern w:val="52"/>
          <w:sz w:val="40"/>
          <w:szCs w:val="40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b/>
          <w:bCs/>
          <w:kern w:val="52"/>
          <w:sz w:val="40"/>
          <w:szCs w:val="40"/>
          <w:lang w:val="en-US" w:eastAsia="zh-TW"/>
          <w14:ligatures w14:val="none"/>
        </w:rPr>
        <w:t>午間研討參加要點</w:t>
      </w:r>
    </w:p>
    <w:p w14:paraId="15F1C266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101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04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19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100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次聯席會議通過</w:t>
      </w:r>
    </w:p>
    <w:p w14:paraId="76BB8823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07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23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101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學期第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5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136292B1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103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01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09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學期第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4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47A23A09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107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01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106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學期第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6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35994BC7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108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06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19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107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54FCE955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110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06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22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109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8</w:t>
      </w:r>
      <w:r w:rsidRPr="001F7709"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05904C22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111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06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20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110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7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0BC55732" w14:textId="77777777" w:rsidR="001F7709" w:rsidRPr="001F7709" w:rsidRDefault="001F7709" w:rsidP="001F7709">
      <w:pPr>
        <w:widowControl w:val="0"/>
        <w:spacing w:after="0" w:line="240" w:lineRule="auto"/>
        <w:jc w:val="right"/>
        <w:rPr>
          <w:rFonts w:ascii="Times New Roman" w:eastAsia="DFKai-SB" w:hAnsi="Times New Roman" w:cs="Times New Roman"/>
          <w:color w:val="000000"/>
          <w:sz w:val="20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112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年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05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月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17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日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111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10</w:t>
      </w:r>
      <w:r w:rsidRPr="001F7709">
        <w:rPr>
          <w:rFonts w:ascii="Times New Roman" w:eastAsia="DFKai-SB" w:hAnsi="Times New Roman" w:cs="Times New Roman" w:hint="eastAsia"/>
          <w:color w:val="000000"/>
          <w:sz w:val="20"/>
          <w:szCs w:val="24"/>
          <w:lang w:val="en-US" w:eastAsia="zh-TW"/>
          <w14:ligatures w14:val="none"/>
        </w:rPr>
        <w:t>次所務會議修正通過</w:t>
      </w:r>
    </w:p>
    <w:p w14:paraId="2CAEDE66" w14:textId="77777777" w:rsidR="001F7709" w:rsidRPr="001F7709" w:rsidRDefault="001F7709" w:rsidP="001F7709">
      <w:pPr>
        <w:widowControl w:val="0"/>
        <w:spacing w:after="0" w:line="400" w:lineRule="exact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一、為規範本所博士班、碩士在職專班及碩士班學生參加午間研討相關事項，特訂定本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要點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。</w:t>
      </w:r>
    </w:p>
    <w:p w14:paraId="4B96C299" w14:textId="77777777" w:rsidR="001F7709" w:rsidRPr="001F7709" w:rsidRDefault="001F7709" w:rsidP="001F7709">
      <w:pPr>
        <w:widowControl w:val="0"/>
        <w:spacing w:after="0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二、午間研討自開學當週起至每學期期末考前一週止，時間為每週五中午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12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：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30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至下午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14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：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00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，如有變動，以本所網頁公告為準。</w:t>
      </w:r>
    </w:p>
    <w:p w14:paraId="71B455B9" w14:textId="77777777" w:rsidR="001F7709" w:rsidRPr="001F7709" w:rsidRDefault="001F7709" w:rsidP="001F7709">
      <w:pPr>
        <w:widowControl w:val="0"/>
        <w:spacing w:after="0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三、午間研討時間除代表國家參加比賽之外，不得請公假。</w:t>
      </w:r>
    </w:p>
    <w:p w14:paraId="2E499ADC" w14:textId="77777777" w:rsidR="001F7709" w:rsidRPr="001F7709" w:rsidRDefault="001F7709" w:rsidP="001F7709">
      <w:pPr>
        <w:widowControl w:val="0"/>
        <w:spacing w:after="0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四、遲到、早退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15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分鐘內，以缺席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0.5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次計，遲到、早退超過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15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分鐘以上，以缺席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次計。</w:t>
      </w:r>
    </w:p>
    <w:p w14:paraId="58C6BF1D" w14:textId="77777777" w:rsidR="001F7709" w:rsidRPr="001F7709" w:rsidRDefault="001F7709" w:rsidP="001F7709">
      <w:pPr>
        <w:widowControl w:val="0"/>
        <w:spacing w:afterLines="20" w:after="48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五、碩士生教練科學組在修業期間前四學期、競技訓練組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及碩在職生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在修業期間前四學期各學期之全所集會時、博士生在修業期間前六學期皆應積極參與。若因個人因素無法全程參與，應依照下列修業學期數補滿最低參與次數：</w:t>
      </w:r>
    </w:p>
    <w:p w14:paraId="5B9EA987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碩士生教練科學組在第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4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(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含以上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)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40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70DA92C1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碩士生教練科學組在第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3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30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0C3CF9D7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碩士生教練科學組在第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20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1A496D2C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碩士生競技訓練組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及碩在職生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4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(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含以上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)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12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0DEDF014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碩士生競技訓練組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及碩在職生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3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9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7C1FE07D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碩士生競技訓練組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及碩在職生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6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6DF42893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博士生在第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6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(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含以上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)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60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4AC57155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博士生在第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5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50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1399B34E" w14:textId="77777777" w:rsidR="001F7709" w:rsidRPr="001F7709" w:rsidRDefault="001F7709" w:rsidP="001F7709">
      <w:pPr>
        <w:widowControl w:val="0"/>
        <w:numPr>
          <w:ilvl w:val="0"/>
          <w:numId w:val="2"/>
        </w:numPr>
        <w:spacing w:afterLines="20" w:after="48" w:line="400" w:lineRule="exact"/>
        <w:ind w:left="766" w:hanging="284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博士生在第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4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學期畢業至少參與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40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次。</w:t>
      </w:r>
    </w:p>
    <w:p w14:paraId="0A80809F" w14:textId="77777777" w:rsidR="001F7709" w:rsidRPr="001F7709" w:rsidRDefault="001F7709" w:rsidP="001F7709">
      <w:pPr>
        <w:widowControl w:val="0"/>
        <w:spacing w:afterLines="20" w:after="48" w:line="400" w:lineRule="exact"/>
        <w:ind w:left="482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學生畢業時應修滿畢業所需學分，且完成論文通過，取得所有口試委員簽名頁。以學校行事曆上載明之正式上課日作為前後學期界定日。</w:t>
      </w:r>
    </w:p>
    <w:p w14:paraId="7ED2F999" w14:textId="77777777" w:rsidR="001F7709" w:rsidRPr="001F7709" w:rsidRDefault="001F7709" w:rsidP="001F7709">
      <w:pPr>
        <w:widowControl w:val="0"/>
        <w:spacing w:after="0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六、報告規定事項：</w:t>
      </w:r>
    </w:p>
    <w:p w14:paraId="7EBE585E" w14:textId="77777777" w:rsidR="001F7709" w:rsidRPr="001F7709" w:rsidRDefault="001F7709" w:rsidP="001F7709">
      <w:pPr>
        <w:widowControl w:val="0"/>
        <w:spacing w:after="0" w:line="400" w:lineRule="exact"/>
        <w:ind w:leftChars="150" w:left="1050" w:hangingChars="300" w:hanging="72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（一）碩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士生教練科學組於修業期間需報告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次，博士生於修業期間需報告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lastRenderedPageBreak/>
        <w:t>（原創性及綜評性各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次）。</w:t>
      </w:r>
    </w:p>
    <w:p w14:paraId="6750FCAA" w14:textId="77777777" w:rsidR="001F7709" w:rsidRPr="001F7709" w:rsidRDefault="001F7709" w:rsidP="001F7709">
      <w:pPr>
        <w:widowControl w:val="0"/>
        <w:spacing w:after="0" w:line="400" w:lineRule="exact"/>
        <w:ind w:leftChars="150" w:left="1026" w:hangingChars="290" w:hanging="696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（二）碩在職生午間研討報告自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110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學年度第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學期起取消，由必選課程「運動訓練科學書報討論」及「教練學論文書報討論」課程中強化學生報告能力，惟每學期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3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次全所集會，碩職生仍應出席。</w:t>
      </w:r>
    </w:p>
    <w:p w14:paraId="28FA02F7" w14:textId="77777777" w:rsidR="001F7709" w:rsidRPr="001F7709" w:rsidRDefault="001F7709" w:rsidP="001F7709">
      <w:pPr>
        <w:widowControl w:val="0"/>
        <w:spacing w:after="0" w:line="400" w:lineRule="exact"/>
        <w:ind w:leftChars="150" w:left="1002" w:hangingChars="280" w:hanging="672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（三）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每學年上學期報告以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博士生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2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年級及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3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年級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為主、下學期以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碩士生教練科學組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1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年級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為主，並於報告時發放摘要。</w:t>
      </w:r>
    </w:p>
    <w:p w14:paraId="1A508537" w14:textId="77777777" w:rsidR="001F7709" w:rsidRPr="001F7709" w:rsidRDefault="001F7709" w:rsidP="001F7709">
      <w:pPr>
        <w:widowControl w:val="0"/>
        <w:spacing w:after="0" w:line="400" w:lineRule="exact"/>
        <w:ind w:leftChars="150" w:left="1002" w:hangingChars="280" w:hanging="672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（四）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報告者需於報告日</w:t>
      </w:r>
      <w:r w:rsidRPr="001F7709">
        <w:rPr>
          <w:rFonts w:ascii="Times New Roman" w:eastAsia="DFKai-SB" w:hAnsi="Times New Roman" w:cs="Times New Roman"/>
          <w:b/>
          <w:color w:val="000000"/>
          <w:sz w:val="24"/>
          <w:szCs w:val="24"/>
          <w:lang w:val="en-US" w:eastAsia="zh-TW"/>
          <w14:ligatures w14:val="none"/>
        </w:rPr>
        <w:t>一週前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將報告摘要寄送指導教授與所辦存查（請在同一電子郵件內同時寄出；檔名：日期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+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學號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+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姓名）。</w:t>
      </w:r>
    </w:p>
    <w:p w14:paraId="1E134D66" w14:textId="77777777" w:rsidR="001F7709" w:rsidRPr="001F7709" w:rsidRDefault="001F7709" w:rsidP="001F7709">
      <w:pPr>
        <w:widowControl w:val="0"/>
        <w:spacing w:after="0" w:line="400" w:lineRule="exact"/>
        <w:ind w:leftChars="150" w:left="1026" w:hangingChars="290" w:hanging="696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（五）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報告時間以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15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分鐘為限，問答及師長講評以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20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分鐘為限。</w:t>
      </w:r>
    </w:p>
    <w:p w14:paraId="658D014B" w14:textId="77777777" w:rsidR="001F7709" w:rsidRPr="001F7709" w:rsidRDefault="001F7709" w:rsidP="001F7709">
      <w:pPr>
        <w:widowControl w:val="0"/>
        <w:spacing w:after="0" w:line="400" w:lineRule="exact"/>
        <w:ind w:leftChars="150" w:left="1002" w:hangingChars="280" w:hanging="672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（六）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主持人及計時由下週報告同學擔任，需提前至所辦準備麥克風等相關物品。</w:t>
      </w:r>
    </w:p>
    <w:p w14:paraId="6D777FC5" w14:textId="77777777" w:rsidR="001F7709" w:rsidRPr="001F7709" w:rsidRDefault="001F7709" w:rsidP="001F7709">
      <w:pPr>
        <w:widowControl w:val="0"/>
        <w:spacing w:after="0" w:line="400" w:lineRule="exact"/>
        <w:ind w:leftChars="150" w:left="1002" w:hangingChars="280" w:hanging="672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（七）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主持人負責提前協調當天報告事宜。</w:t>
      </w:r>
    </w:p>
    <w:p w14:paraId="1C6DAD7E" w14:textId="77777777" w:rsidR="001F7709" w:rsidRPr="001F7709" w:rsidRDefault="001F7709" w:rsidP="001F7709">
      <w:pPr>
        <w:widowControl w:val="0"/>
        <w:spacing w:after="0" w:line="400" w:lineRule="exact"/>
        <w:ind w:leftChars="150" w:left="1002" w:hangingChars="280" w:hanging="672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（八）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若無法報告的同學，請在兩週前找好互換同學並通知指導教授及所辦。</w:t>
      </w:r>
    </w:p>
    <w:p w14:paraId="36A5773E" w14:textId="77777777" w:rsidR="001F7709" w:rsidRPr="001F7709" w:rsidRDefault="001F7709" w:rsidP="001F7709">
      <w:pPr>
        <w:widowControl w:val="0"/>
        <w:spacing w:after="0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七、每次午間研討時間開始前請至台前簽到，並儘速就座、關閉手機、保持粛靜。</w:t>
      </w:r>
    </w:p>
    <w:p w14:paraId="04DC4F68" w14:textId="77777777" w:rsidR="001F7709" w:rsidRPr="001F7709" w:rsidRDefault="001F7709" w:rsidP="001F7709">
      <w:pPr>
        <w:widowControl w:val="0"/>
        <w:spacing w:after="0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八、調訓國家代表隊擔任教練或選手期間可免受本要點規範。</w:t>
      </w:r>
    </w:p>
    <w:p w14:paraId="12DF0002" w14:textId="77777777" w:rsidR="001F7709" w:rsidRPr="001F7709" w:rsidRDefault="001F7709" w:rsidP="001F7709">
      <w:pPr>
        <w:widowControl w:val="0"/>
        <w:spacing w:afterLines="20" w:after="48" w:line="400" w:lineRule="exact"/>
        <w:ind w:left="480" w:hangingChars="200" w:hanging="48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九、本</w:t>
      </w:r>
      <w:r w:rsidRPr="001F7709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要點</w:t>
      </w:r>
      <w:r w:rsidRPr="001F7709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可溯及既往，若有未盡事宜應經所務會議通過辦理。</w:t>
      </w:r>
    </w:p>
    <w:p w14:paraId="02B3BCDC" w14:textId="442C500A" w:rsidR="00420547" w:rsidRDefault="00420547">
      <w:pPr>
        <w:rPr>
          <w:lang w:val="en-US"/>
        </w:rPr>
      </w:pPr>
      <w:r>
        <w:rPr>
          <w:lang w:val="en-US"/>
        </w:rPr>
        <w:br w:type="page"/>
      </w:r>
    </w:p>
    <w:p w14:paraId="032562AF" w14:textId="77777777" w:rsidR="00420547" w:rsidRPr="00420547" w:rsidRDefault="00420547" w:rsidP="00420547">
      <w:pPr>
        <w:widowControl w:val="0"/>
        <w:spacing w:after="0" w:line="560" w:lineRule="exact"/>
        <w:jc w:val="center"/>
        <w:rPr>
          <w:rFonts w:ascii="Times New Roman" w:eastAsia="DFKai-SB" w:hAnsi="Times New Roman" w:cs="Times New Roman"/>
          <w:b/>
          <w:color w:val="000000"/>
          <w:sz w:val="40"/>
          <w:szCs w:val="40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b/>
          <w:color w:val="000000"/>
          <w:sz w:val="40"/>
          <w:szCs w:val="40"/>
          <w:lang w:val="en-US" w:eastAsia="zh-TW"/>
          <w14:ligatures w14:val="none"/>
        </w:rPr>
        <w:lastRenderedPageBreak/>
        <w:t>國立體育大學競技學院競技與教練科學研究所</w:t>
      </w:r>
    </w:p>
    <w:p w14:paraId="4C4794B0" w14:textId="77777777" w:rsidR="00420547" w:rsidRPr="00420547" w:rsidRDefault="00420547" w:rsidP="00420547">
      <w:pPr>
        <w:keepNext/>
        <w:widowControl w:val="0"/>
        <w:spacing w:before="180" w:after="180" w:line="560" w:lineRule="exact"/>
        <w:jc w:val="center"/>
        <w:outlineLvl w:val="0"/>
        <w:rPr>
          <w:rFonts w:ascii="Times New Roman" w:eastAsia="DFKai-SB" w:hAnsi="Times New Roman" w:cs="Times New Roman"/>
          <w:b/>
          <w:bCs/>
          <w:color w:val="000000"/>
          <w:kern w:val="52"/>
          <w:sz w:val="40"/>
          <w:szCs w:val="40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b/>
          <w:bCs/>
          <w:color w:val="000000"/>
          <w:kern w:val="52"/>
          <w:sz w:val="40"/>
          <w:szCs w:val="40"/>
          <w:lang w:val="en-US" w:eastAsia="zh-TW"/>
          <w14:ligatures w14:val="none"/>
        </w:rPr>
        <w:t>午間研討摘要格式</w:t>
      </w:r>
    </w:p>
    <w:p w14:paraId="711FF7DB" w14:textId="77777777" w:rsidR="00420547" w:rsidRPr="00420547" w:rsidRDefault="00420547" w:rsidP="00420547">
      <w:pPr>
        <w:widowControl w:val="0"/>
        <w:spacing w:after="0" w:line="240" w:lineRule="auto"/>
        <w:jc w:val="center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</w:p>
    <w:p w14:paraId="72748E2F" w14:textId="77777777" w:rsidR="00420547" w:rsidRPr="00420547" w:rsidRDefault="00420547" w:rsidP="00420547">
      <w:pPr>
        <w:widowControl w:val="0"/>
        <w:spacing w:after="0" w:line="240" w:lineRule="auto"/>
        <w:jc w:val="center"/>
        <w:rPr>
          <w:rFonts w:ascii="Times New Roman" w:eastAsia="DFKai-SB" w:hAnsi="Times New Roman" w:cs="Times New Roman"/>
          <w:color w:val="000000"/>
          <w:sz w:val="28"/>
          <w:szCs w:val="24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b/>
          <w:color w:val="000000"/>
          <w:sz w:val="40"/>
          <w:szCs w:val="24"/>
          <w:lang w:val="en-US" w:eastAsia="zh-TW"/>
          <w14:ligatures w14:val="none"/>
        </w:rPr>
        <w:t>題目</w:t>
      </w:r>
      <w:r w:rsidRPr="00420547">
        <w:rPr>
          <w:rFonts w:ascii="Times New Roman" w:eastAsia="DFKai-SB" w:hAnsi="Times New Roman" w:cs="Times New Roman"/>
          <w:color w:val="000000"/>
          <w:sz w:val="28"/>
          <w:szCs w:val="24"/>
          <w:lang w:val="en-US" w:eastAsia="zh-TW"/>
          <w14:ligatures w14:val="none"/>
        </w:rPr>
        <w:t>(</w:t>
      </w:r>
      <w:r w:rsidRPr="00420547">
        <w:rPr>
          <w:rFonts w:ascii="Times New Roman" w:eastAsia="DFKai-SB" w:hAnsi="Times New Roman" w:cs="Times New Roman" w:hint="eastAsia"/>
          <w:color w:val="000000"/>
          <w:sz w:val="28"/>
          <w:szCs w:val="24"/>
          <w:lang w:val="en-US" w:eastAsia="zh-TW"/>
          <w14:ligatures w14:val="none"/>
        </w:rPr>
        <w:t>標楷體、</w:t>
      </w:r>
      <w:r w:rsidRPr="00420547">
        <w:rPr>
          <w:rFonts w:ascii="Times New Roman" w:eastAsia="DFKai-SB" w:hAnsi="Times New Roman" w:cs="Times New Roman"/>
          <w:color w:val="000000"/>
          <w:sz w:val="28"/>
          <w:szCs w:val="24"/>
          <w:lang w:val="en-US" w:eastAsia="zh-TW"/>
          <w14:ligatures w14:val="none"/>
        </w:rPr>
        <w:t>20</w:t>
      </w:r>
      <w:r w:rsidRPr="00420547">
        <w:rPr>
          <w:rFonts w:ascii="Times New Roman" w:eastAsia="DFKai-SB" w:hAnsi="Times New Roman" w:cs="Times New Roman" w:hint="eastAsia"/>
          <w:color w:val="000000"/>
          <w:sz w:val="28"/>
          <w:szCs w:val="24"/>
          <w:lang w:val="en-US" w:eastAsia="zh-TW"/>
          <w14:ligatures w14:val="none"/>
        </w:rPr>
        <w:t>號字、粗體</w:t>
      </w:r>
      <w:r w:rsidRPr="00420547">
        <w:rPr>
          <w:rFonts w:ascii="Times New Roman" w:eastAsia="DFKai-SB" w:hAnsi="Times New Roman" w:cs="Times New Roman"/>
          <w:color w:val="000000"/>
          <w:sz w:val="28"/>
          <w:szCs w:val="24"/>
          <w:lang w:val="en-US" w:eastAsia="zh-TW"/>
          <w14:ligatures w14:val="none"/>
        </w:rPr>
        <w:t>)</w:t>
      </w:r>
    </w:p>
    <w:p w14:paraId="7C7F8433" w14:textId="77777777" w:rsidR="00420547" w:rsidRPr="00420547" w:rsidRDefault="00420547" w:rsidP="00420547">
      <w:pPr>
        <w:widowControl w:val="0"/>
        <w:spacing w:after="0" w:line="240" w:lineRule="auto"/>
        <w:ind w:firstLineChars="2500" w:firstLine="600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研究生：</w:t>
      </w:r>
    </w:p>
    <w:p w14:paraId="42FFA4B8" w14:textId="77777777" w:rsidR="00420547" w:rsidRPr="00420547" w:rsidRDefault="00420547" w:rsidP="00420547">
      <w:pPr>
        <w:widowControl w:val="0"/>
        <w:spacing w:after="0" w:line="240" w:lineRule="auto"/>
        <w:ind w:firstLineChars="2500" w:firstLine="600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指導教授：</w:t>
      </w:r>
    </w:p>
    <w:p w14:paraId="645EFAFD" w14:textId="77777777" w:rsidR="00420547" w:rsidRPr="00420547" w:rsidRDefault="00420547" w:rsidP="00420547">
      <w:pPr>
        <w:widowControl w:val="0"/>
        <w:spacing w:after="0" w:line="240" w:lineRule="auto"/>
        <w:ind w:firstLineChars="2500" w:firstLine="6000"/>
        <w:jc w:val="both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報告日期：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 xml:space="preserve">  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年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 xml:space="preserve">  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月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 xml:space="preserve">  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日</w:t>
      </w:r>
    </w:p>
    <w:p w14:paraId="2ACF9514" w14:textId="77777777" w:rsidR="00420547" w:rsidRPr="00420547" w:rsidRDefault="00420547" w:rsidP="00420547">
      <w:pPr>
        <w:widowControl w:val="0"/>
        <w:spacing w:after="0" w:line="240" w:lineRule="auto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</w:p>
    <w:p w14:paraId="7896D995" w14:textId="77777777" w:rsidR="00420547" w:rsidRPr="00420547" w:rsidRDefault="00420547" w:rsidP="00420547">
      <w:pPr>
        <w:widowControl w:val="0"/>
        <w:spacing w:after="0" w:line="240" w:lineRule="auto"/>
        <w:jc w:val="center"/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b/>
          <w:color w:val="000000"/>
          <w:sz w:val="32"/>
          <w:szCs w:val="24"/>
          <w:lang w:val="en-US" w:eastAsia="zh-TW"/>
          <w14:ligatures w14:val="none"/>
        </w:rPr>
        <w:t>摘</w:t>
      </w:r>
      <w:r w:rsidRPr="00420547">
        <w:rPr>
          <w:rFonts w:ascii="Times New Roman" w:eastAsia="DFKai-SB" w:hAnsi="Times New Roman" w:cs="Times New Roman"/>
          <w:b/>
          <w:color w:val="000000"/>
          <w:sz w:val="32"/>
          <w:szCs w:val="24"/>
          <w:lang w:val="en-US" w:eastAsia="zh-TW"/>
          <w14:ligatures w14:val="none"/>
        </w:rPr>
        <w:t xml:space="preserve">  </w:t>
      </w:r>
      <w:r w:rsidRPr="00420547">
        <w:rPr>
          <w:rFonts w:ascii="Times New Roman" w:eastAsia="DFKai-SB" w:hAnsi="Times New Roman" w:cs="Times New Roman" w:hint="eastAsia"/>
          <w:b/>
          <w:color w:val="000000"/>
          <w:sz w:val="32"/>
          <w:szCs w:val="24"/>
          <w:lang w:val="en-US" w:eastAsia="zh-TW"/>
          <w14:ligatures w14:val="none"/>
        </w:rPr>
        <w:t>要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(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標楷體、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16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號字、粗體，以一段式呈現，限一頁。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lang w:val="en-US" w:eastAsia="zh-TW"/>
          <w14:ligatures w14:val="none"/>
        </w:rPr>
        <w:t>)</w:t>
      </w:r>
    </w:p>
    <w:p w14:paraId="4E26279B" w14:textId="77777777" w:rsidR="00420547" w:rsidRPr="00420547" w:rsidRDefault="00420547" w:rsidP="00420547">
      <w:pPr>
        <w:widowControl w:val="0"/>
        <w:spacing w:after="0" w:line="240" w:lineRule="auto"/>
        <w:jc w:val="both"/>
        <w:rPr>
          <w:rFonts w:ascii="Times New Roman" w:eastAsia="DFKai-SB" w:hAnsi="Times New Roman" w:cs="Times New Roman"/>
          <w:b/>
          <w:color w:val="000000"/>
          <w:sz w:val="24"/>
          <w:szCs w:val="24"/>
          <w:lang w:val="en-US" w:eastAsia="zh-TW"/>
          <w14:ligatures w14:val="none"/>
        </w:rPr>
      </w:pPr>
    </w:p>
    <w:p w14:paraId="28CA5687" w14:textId="77777777" w:rsidR="00420547" w:rsidRPr="00420547" w:rsidRDefault="00420547" w:rsidP="00420547">
      <w:pPr>
        <w:widowControl w:val="0"/>
        <w:spacing w:after="0" w:line="360" w:lineRule="auto"/>
        <w:jc w:val="both"/>
        <w:rPr>
          <w:rFonts w:ascii="Times New Roman" w:eastAsia="DFKai-SB" w:hAnsi="Times New Roman" w:cs="Times New Roman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lang w:val="en-US" w:eastAsia="zh-TW"/>
          <w14:ligatures w14:val="none"/>
        </w:rPr>
        <w:t>研究背景：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必須明確指出研究的背景。</w:t>
      </w: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lang w:val="en-US" w:eastAsia="zh-TW"/>
          <w14:ligatures w14:val="none"/>
        </w:rPr>
        <w:t>目的：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必須明確指出研究的目的。</w:t>
      </w: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lang w:val="en-US" w:eastAsia="zh-TW"/>
          <w14:ligatures w14:val="none"/>
        </w:rPr>
        <w:t>方法：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需提及研究對象、設計處理等。</w:t>
      </w: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lang w:val="en-US" w:eastAsia="zh-TW"/>
          <w14:ligatures w14:val="none"/>
        </w:rPr>
        <w:t>預期結果及效益：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此研究可以得到什麼樣的</w:t>
      </w:r>
      <w:r w:rsidRPr="00420547">
        <w:rPr>
          <w:rFonts w:ascii="Times New Roman" w:eastAsia="DFKai-SB" w:hAnsi="Times New Roman" w:cs="Times New Roman" w:hint="eastAsia"/>
          <w:iCs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結果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或是產生什麼樣的貢獻。【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已完成之實驗請呈現</w:t>
      </w: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lang w:val="en-US" w:eastAsia="zh-TW"/>
          <w14:ligatures w14:val="none"/>
        </w:rPr>
        <w:t>結果：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呈現所得結果之重要變項數據。</w:t>
      </w: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lang w:val="en-US" w:eastAsia="zh-TW"/>
          <w14:ligatures w14:val="none"/>
        </w:rPr>
        <w:t>結論：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lang w:val="en-US" w:eastAsia="zh-TW"/>
          <w14:ligatures w14:val="none"/>
        </w:rPr>
        <w:t>呼應題目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總結前述研究結果，並再次強調論點。】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(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標楷體、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12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號字、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1.5</w:t>
      </w:r>
      <w:proofErr w:type="gramStart"/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行高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)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。</w:t>
      </w:r>
      <w:proofErr w:type="gramEnd"/>
    </w:p>
    <w:p w14:paraId="75663E20" w14:textId="77777777" w:rsidR="00420547" w:rsidRPr="00420547" w:rsidRDefault="00420547" w:rsidP="00420547">
      <w:pPr>
        <w:widowControl w:val="0"/>
        <w:spacing w:after="0" w:line="360" w:lineRule="auto"/>
        <w:jc w:val="both"/>
        <w:rPr>
          <w:rFonts w:ascii="Times New Roman" w:eastAsia="DFKai-SB" w:hAnsi="Times New Roman" w:cs="Times New Roman"/>
          <w:b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</w:pPr>
    </w:p>
    <w:p w14:paraId="6E6A3D98" w14:textId="77777777" w:rsidR="00420547" w:rsidRPr="00420547" w:rsidRDefault="00420547" w:rsidP="00420547">
      <w:pPr>
        <w:widowControl w:val="0"/>
        <w:spacing w:after="0" w:line="36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  <w14:ligatures w14:val="none"/>
        </w:rPr>
      </w:pPr>
      <w:r w:rsidRPr="00420547">
        <w:rPr>
          <w:rFonts w:ascii="Times New Roman" w:eastAsia="DFKai-SB" w:hAnsi="Times New Roman" w:cs="Times New Roman" w:hint="eastAsia"/>
          <w:b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關鍵詞：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至多</w:t>
      </w:r>
      <w:r w:rsidRPr="00420547">
        <w:rPr>
          <w:rFonts w:ascii="Times New Roman" w:eastAsia="DFKai-SB" w:hAnsi="Times New Roman" w:cs="Times New Roman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5</w:t>
      </w:r>
      <w:r w:rsidRPr="00420547">
        <w:rPr>
          <w:rFonts w:ascii="Times New Roman" w:eastAsia="DFKai-SB" w:hAnsi="Times New Roman" w:cs="Times New Roman" w:hint="eastAsia"/>
          <w:color w:val="000000"/>
          <w:sz w:val="24"/>
          <w:szCs w:val="24"/>
          <w:shd w:val="clear" w:color="auto" w:fill="FFFFFF"/>
          <w:lang w:val="en-US" w:eastAsia="zh-TW"/>
          <w14:ligatures w14:val="none"/>
        </w:rPr>
        <w:t>個且未出現於題目。</w:t>
      </w:r>
    </w:p>
    <w:p w14:paraId="7CC9E6AD" w14:textId="77777777" w:rsidR="00420547" w:rsidRPr="00420547" w:rsidRDefault="00420547" w:rsidP="00420547">
      <w:pPr>
        <w:spacing w:line="256" w:lineRule="auto"/>
        <w:rPr>
          <w:rFonts w:ascii="Calibri" w:eastAsia="DengXian" w:hAnsi="Calibri" w:cs="Times New Roman"/>
        </w:rPr>
      </w:pPr>
    </w:p>
    <w:p w14:paraId="730773A9" w14:textId="77777777" w:rsidR="00622CF3" w:rsidRPr="001F7709" w:rsidRDefault="00622CF3" w:rsidP="001F7709">
      <w:pPr>
        <w:rPr>
          <w:lang w:val="en-US"/>
        </w:rPr>
      </w:pPr>
    </w:p>
    <w:sectPr w:rsidR="00622CF3" w:rsidRPr="001F7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A13"/>
    <w:multiLevelType w:val="hybridMultilevel"/>
    <w:tmpl w:val="51466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3FF2391"/>
    <w:multiLevelType w:val="hybridMultilevel"/>
    <w:tmpl w:val="08B465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5278824">
    <w:abstractNumId w:val="1"/>
  </w:num>
  <w:num w:numId="2" w16cid:durableId="195142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3"/>
    <w:rsid w:val="001F7709"/>
    <w:rsid w:val="003F754A"/>
    <w:rsid w:val="00420547"/>
    <w:rsid w:val="00622CF3"/>
    <w:rsid w:val="007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AB32"/>
  <w15:chartTrackingRefBased/>
  <w15:docId w15:val="{98BF6616-DFE1-4100-8467-AF77152C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Ryan</dc:creator>
  <cp:keywords/>
  <dc:description/>
  <cp:lastModifiedBy>ii Ryan</cp:lastModifiedBy>
  <cp:revision>5</cp:revision>
  <dcterms:created xsi:type="dcterms:W3CDTF">2023-05-25T03:00:00Z</dcterms:created>
  <dcterms:modified xsi:type="dcterms:W3CDTF">2023-05-25T03:34:00Z</dcterms:modified>
</cp:coreProperties>
</file>